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205</w:t>
      </w:r>
    </w:p>
    <w:p>
      <w:r>
        <w:t>Bundesgericht (BGE), 2011-07-05, FR</w:t>
      </w:r>
    </w:p>
    <w:p>
      <w:r>
        <w:rPr>
          <w:b/>
        </w:rPr>
        <w:t xml:space="preserve">Quelle: </w:t>
      </w:r>
      <w:r>
        <w:t>https://mcp.opencaselaw.ch/entscheid/bge_138 IV 205</w:t>
      </w:r>
    </w:p>
    <w:p>
      <w:r>
        <w:t>FR: ATF 138 IV 205</w:t>
      </w:r>
    </w:p>
    <w:p>
      <w:r>
        <w:t>IT: DTF 138 IV 205</w:t>
      </w:r>
    </w:p>
    <w:p>
      <w:pPr>
        <w:pStyle w:val="Heading2"/>
      </w:pPr>
      <w:r>
        <w:t>Regeste</w:t>
      </w:r>
    </w:p>
    <w:p>
      <w:r>
        <w:t>Regeste Art. 429 Abs. 1 lit. a und Art. 436 Abs. 2 StPO; Entschädigung für Kosten der Verteidigung. Die beiden Bestimmungen regeln die Entschädigung für die Kosten eines Wahlverteidigers. Der freigesprochene Angeschuldigte, dem die unentgeltliche Rechtspflege gewährt wurde, ist grundsätzlich von der Kostenpflicht für die amtliche Verteidigung befreit und kann deshalb keine Entschädigung für seine Verteidigung verlangen (E. 1).</w:t>
      </w:r>
    </w:p>
    <w:p>
      <w:pPr>
        <w:pStyle w:val="Heading2"/>
      </w:pPr>
      <w:r>
        <w:t>Erwägungen</w:t>
      </w:r>
    </w:p>
    <w:p>
      <w:r>
        <w:rPr>
          <w:b/>
        </w:rPr>
        <w:t>E. 1</w:t>
      </w:r>
    </w:p>
    <w:p>
      <w:r>
        <w:t>Invoquant une violation des art. 29 Cst. et 429 ss CPP (RS 312.0), plus particulièrement de l' art. 436 CPP , le recourant se plaint de ce que la cour cantonale ne lui ait pas alloué d'indemnité de dépens pour la procédure d'appel. L'invocation de l' art. 29 Cst. n'a pas de portée propre par rapport à la violation alléguée des art. 429 et 436 al. 2 CPP . 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 L'indemnité selon les art. 429 al. 1 let. a et 436 al. 2 CPP concerne les dépenses du prévenu pour un avocat de choix (cf. WEHRENBERG/BERNHARD, in Basler Kommentar, Schweizerische Strafprozessordnung, 2011, n° 12 ad art. 429 CPP et n° 3 in fine ad art. 436 CPP ; NIKLAUS SCHMID, Schweizerische Strafprozessordnung, Praxiskommentar, 2009, n° 7 ad art. 429 CPP ; YVONA GRIESSER, in Kommentar zur Schweizerischen Strafprozessordnung [StPO], Donatsch/Hansjakob/Lieber [éd.], 2010, n° 4 ad art. 429 CPP ). En l'espèce, le recourant n'a pas été défendu par un avocat de choix mais a bénéficié de l'assistance judiciaire pour la procédure cantonale et par ce biais d'un défenseur d'office. Les frais imputables à la défense d'office font partie des frais de procédure (cf. art. 422 al. 2 let. a CPP ), le prévenu n'ayant toutefois en principe pas à supporter les frais afférents à la défense d'office (cf. art. 426 al. 1 CPP ). Il apparaît dès lors que le recourant n'a pas lui-même supporté de dépenses relatives à un avocat de choix. Il ne saurait donc prétendre à une indemnité à ce titre, les conditions des art. 429 al. 1 let. a et 436 al. 2 CPP n'étant pas réalisées. BGE 138 IV 205 S. 207 Le recourant fait valoir que si sa situation financière devait le permettre, il serait exposé à l'avenir à devoir rembourser à l'Etat les frais d'honoraires pour la défense d'office et à payer à son avocat la différence entre l'indemnité de défenseur d'office et les honoraires qu'aurait touchés un défenseur privé (cf. art. 135 al. 4 CPP ). Conformément à la teneur de cette disposition, cette hypothèse n'est susceptible de concerner que le prévenu condamné aux frais de procédure, ce qui ne paraît pas être le cas du recourant. Quoi qu'il en soit, une indemnité selon les art. 429 al. 1 let. a et 436 al. 2 CPP ne saurait, la loi ne prévoyant pas un tel cas de figure, être accordée conditionnellement pour le cas où la situation visée à l' art. 135 al. 4 CPP se produirait. Le recourant ne saurait donc prétendre à une indemnité pour ses frais de défense dans la procédure d'appel. Son grief est infondé et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